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Notfallordner – Sicherheit für den Ernstfall</w:t>
      </w:r>
    </w:p>
    <w:p>
      <w:pPr>
        <w:pStyle w:val="Heading2"/>
      </w:pPr>
      <w:r>
        <w:t>Wichtige Dokumente</w:t>
      </w:r>
    </w:p>
    <w:p>
      <w:pPr>
        <w:pStyle w:val="ListBullet"/>
      </w:pPr>
      <w:r>
        <w:t>Personalausweis und Geburtsurkunde</w:t>
      </w:r>
    </w:p>
    <w:p>
      <w:pPr>
        <w:pStyle w:val="ListBullet"/>
      </w:pPr>
      <w:r>
        <w:t>Krankenversicherungspolice</w:t>
      </w:r>
    </w:p>
    <w:p>
      <w:pPr>
        <w:pStyle w:val="ListBullet"/>
      </w:pPr>
      <w:r>
        <w:t>Bankvollmachten und Testament</w:t>
      </w:r>
    </w:p>
    <w:p>
      <w:pPr>
        <w:pStyle w:val="Heading2"/>
      </w:pPr>
      <w:r>
        <w:t>Anweisungen im Notfall</w:t>
      </w:r>
    </w:p>
    <w:p>
      <w:pPr>
        <w:pStyle w:val="ListBullet"/>
      </w:pPr>
      <w:r>
        <w:t>1. Kontaktieren Sie die angegebenen Notfallkontakte</w:t>
      </w:r>
    </w:p>
    <w:p>
      <w:pPr>
        <w:pStyle w:val="ListBullet"/>
      </w:pPr>
      <w:r>
        <w:t>2. Alle wichtigen Dokumente befinden sich in diesem Ordner</w:t>
      </w:r>
    </w:p>
    <w:p>
      <w:pPr>
        <w:pStyle w:val="ListBullet"/>
      </w:pPr>
      <w:r>
        <w:t>3. Handlungsanweisungen für medizinische Notfälle beachten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